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48</w:t>
      </w:r>
    </w:p>
    <w:p>
      <w:r>
        <w:t>Bundesgericht (BGE), 1974-08-07, DE</w:t>
      </w:r>
    </w:p>
    <w:p>
      <w:r>
        <w:rPr>
          <w:b/>
        </w:rPr>
        <w:t xml:space="preserve">Quelle: </w:t>
      </w:r>
      <w:r>
        <w:t>https://mcp.opencaselaw.ch/entscheid/bge_100 III 48</w:t>
      </w:r>
    </w:p>
    <w:p>
      <w:r>
        <w:t>FR: ATF 100 III 48</w:t>
      </w:r>
    </w:p>
    <w:p>
      <w:r>
        <w:t>IT: DTF 100 III 48</w:t>
      </w:r>
    </w:p>
    <w:p>
      <w:pPr>
        <w:pStyle w:val="Heading2"/>
      </w:pPr>
      <w:r>
        <w:t>Regeste</w:t>
      </w:r>
    </w:p>
    <w:p>
      <w:r>
        <w:t>Regeste 1. Betreibung für eine Forderung, für die mehrere Grundstücke verpfändet sind. Die Bestimmung des Art. 816 Abs. 3 ZGB, wonach in diesem Fall die Betreibung auf Pfandverwertung gleichzeitig gegen alle Grundstücke zu richten ist, hat zwingenden Charakter. 2. Ein Rechtsöffnungsentscheid äussert ausschliesslich betreibungsrechtliche Wirkungen; er schafft bloss Recht für die betreffende Betreibung.</w:t>
      </w:r>
    </w:p>
    <w:p>
      <w:pPr>
        <w:pStyle w:val="Heading2"/>
      </w:pPr>
      <w:r>
        <w:t>Erwägungen</w:t>
      </w:r>
    </w:p>
    <w:p>
      <w:r>
        <w:rPr>
          <w:b/>
        </w:rPr>
        <w:t>E. 1</w:t>
      </w:r>
    </w:p>
    <w:p>
      <w:r>
        <w:t>Der Rekurrent hatte im Betreibungsbegehren, mit dem er für die Forderung von Fr. 350 000.-- die Grundpfandverwertung verlangte, als Grund der Forderung angegeben: "Grundpfandverschreibung vom 15. Oktober 1972 auf Parzelle 9-92 der 'Oase-Run-Liung' (L- und S-Register) ca. 3619 m2 im I. Rang mit springendem Nachrückungsrecht auf das ganze Grundstück"; zudem hatte er dem Begehren die Grundpfandverschreibung in Photokopie beigelegt. Er verlangte demnach bloss die Verwertung des Grundstückes 9-92 von ca. 3619 m2 der "Oase-Run Liung". Wohl hätte der Betreibungsbeamte auf Grund des Pfandtitels erkennen können, dass für dieselbe Schuld weitere 23 Grundstücke verpfändet waren, und dem Gläubiger mitteilen sollen, dass gemäss Art. 816 Abs. 3 ZGB eine Betreibung auf Pfandverwertung dieses Grundstückes nur möglich sei, falls gleichzeitig die Verwertung aller mit der gleichen Schuld belasteten Grundstücke verlangt werde. Aber entgegen der Ansicht des Rekurrenten durfte der Betreibungsbeamte die Betreibung keinesfalls von sich aus auf die übrigen Grundstücke ausdehnen, deren Verwertung im Betreibungsbegehren nicht verlangt worden war. Infolgedessen kann es nun ebenfalls nicht angehen, das Betreibungsamt anzuweisen, alle Grundstücke in dieser Betreibung zu verwerten.</w:t>
      </w:r>
    </w:p>
    <w:p>
      <w:r>
        <w:rPr>
          <w:b/>
        </w:rPr>
        <w:t>E. 2</w:t>
      </w:r>
    </w:p>
    <w:p>
      <w:r>
        <w:t>Die Bestimmung des Art. 816 Abs. 3 ZGB ist eine solche zwingenden Rechtes, gegen deren Verletzung die Aufsichtsbehörden von Amtes wegen und unabhängig davon, ob bei ihnen rechtzeitig Beschwerde erhoben worden ist, einzuschreiten haben ( BGE 40 III 248 /249). Die kantonale Aufsichtsbehörde hat deshalb zu Recht in das Betreibungsverfahren Nr. 298/72 eingegriffen und den Pfandausfallschein, der dem Gläubiger nach der unzulässigen Verwertung des Grundstückes 9-92 ausgestellt worden war, für ungültig erklärt. Die Verwertung dieser Parzelle wird erst dann möglich sein, wenn auch das andere Betreibungsverfahren, das sich auf die übrigen 23 Parzellen bezieht, in das Verwertungsstadium gelangt ist.</w:t>
      </w:r>
    </w:p>
    <w:p>
      <w:r>
        <w:rPr>
          <w:b/>
        </w:rPr>
        <w:t>E. 3</w:t>
      </w:r>
    </w:p>
    <w:p>
      <w:r>
        <w:t>Ein Rechtsöffnungsentscheid äussert ausschliesslich betreibungsrechtliche Wirkungen; er schafft bloss Recht für die BGE 100 III 48 S. 51 betreffende Betreibung. Leitet der Gläubiger demnach für dieselbe Forderung eine neue Betreibung ein, so kann er, auch wenn er in einem frühern Verfahren Rechtsöffnung erlangt hat, dem Schuldner im neuen Rechtsöffnungsverfahren nicht die Einrede der abgeurteilten Sache entgegenhalten (JAEGER, Schuldbetreibung und Konkurs, 3. Aufl., N. 7 zu Art. 80 SchKG ; FRITZSCHE, Schuldbetreibung und Konkurs, Bd. I, S. 137). Der Schuldner kann somit die neue Betreibung wiederum durch Rechtsvorschlag hemmen und, sofern dem Gläubiger die provisorische Rechtsöffnung bewilligt wird, die Fortsetzung der Betreibung durch fristgemässes Anheben der Aberkennungsklage verhindern. Alsdann wird erst im Aberkennungsprozess über die Forderung materiell entschieden. Im vorliegenden Fall kann sich folglich der Gläubiger in der Betreibung auf Verwertung der 23 restlichen Parzellen nicht auf den im frühern Verfahren erlangten Rechtsöffnungstitel berufen. Dispositiv Demnach erkennt die Schuldbetr.-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